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66" w:rsidRDefault="00285B66" w:rsidP="00285B66">
      <w:pPr>
        <w:pStyle w:val="Intestazione"/>
      </w:pPr>
      <w:r>
        <w:rPr>
          <w:rFonts w:ascii="Times New Roman" w:hAnsi="Times New Roman" w:cs="Times New Roman"/>
          <w:b/>
          <w:sz w:val="24"/>
          <w:szCs w:val="24"/>
        </w:rPr>
        <w:t>SPECIFICHE TECNICHE E FABBISOGNO</w:t>
      </w:r>
    </w:p>
    <w:p w:rsidR="00823B2E" w:rsidRPr="000206DD" w:rsidRDefault="00823B2E">
      <w:pPr>
        <w:rPr>
          <w:rFonts w:cs="Arial"/>
          <w:color w:val="000000"/>
          <w:sz w:val="20"/>
          <w:szCs w:val="16"/>
          <w:lang w:eastAsia="it-IT"/>
        </w:rPr>
      </w:pPr>
    </w:p>
    <w:p w:rsidR="002D3D9F" w:rsidRPr="002D3D9F" w:rsidRDefault="002D3D9F" w:rsidP="005C0044">
      <w:pPr>
        <w:spacing w:line="360" w:lineRule="auto"/>
        <w:jc w:val="both"/>
        <w:rPr>
          <w:rFonts w:ascii="Times New Roman" w:eastAsia="Arial Unicode MS" w:hAnsi="Times New Roman"/>
          <w:b/>
          <w:szCs w:val="22"/>
          <w:lang w:eastAsia="it-IT"/>
        </w:rPr>
      </w:pPr>
      <w:r>
        <w:rPr>
          <w:rFonts w:ascii="Times New Roman" w:eastAsia="Arial Unicode MS" w:hAnsi="Times New Roman"/>
          <w:b/>
          <w:szCs w:val="22"/>
          <w:lang w:eastAsia="it-IT"/>
        </w:rPr>
        <w:t>F</w:t>
      </w:r>
      <w:r w:rsidRPr="002D3D9F">
        <w:rPr>
          <w:rFonts w:ascii="Times New Roman" w:eastAsia="Arial Unicode MS" w:hAnsi="Times New Roman"/>
          <w:b/>
          <w:szCs w:val="22"/>
          <w:lang w:eastAsia="it-IT"/>
        </w:rPr>
        <w:t xml:space="preserve">ornitura di </w:t>
      </w:r>
      <w:r w:rsidR="00AB3FA8" w:rsidRPr="00AB3FA8">
        <w:rPr>
          <w:rFonts w:ascii="Times New Roman" w:eastAsia="Arial Unicode MS" w:hAnsi="Times New Roman"/>
          <w:b/>
          <w:szCs w:val="22"/>
          <w:lang w:eastAsia="it-IT"/>
        </w:rPr>
        <w:t xml:space="preserve">kit diagnostici da destinare </w:t>
      </w:r>
      <w:r>
        <w:rPr>
          <w:rFonts w:ascii="Times New Roman" w:eastAsia="Arial Unicode MS" w:hAnsi="Times New Roman"/>
          <w:b/>
          <w:szCs w:val="22"/>
          <w:lang w:eastAsia="it-IT"/>
        </w:rPr>
        <w:t>al</w:t>
      </w:r>
      <w:r w:rsidRPr="002D3D9F">
        <w:rPr>
          <w:rFonts w:ascii="Times New Roman" w:eastAsia="Arial Unicode MS" w:hAnsi="Times New Roman"/>
          <w:b/>
          <w:szCs w:val="22"/>
          <w:lang w:eastAsia="it-IT"/>
        </w:rPr>
        <w:t xml:space="preserve"> </w:t>
      </w:r>
      <w:r>
        <w:rPr>
          <w:rFonts w:ascii="Times New Roman" w:eastAsia="Arial Unicode MS" w:hAnsi="Times New Roman"/>
          <w:b/>
          <w:szCs w:val="22"/>
          <w:lang w:eastAsia="it-IT"/>
        </w:rPr>
        <w:t>L</w:t>
      </w:r>
      <w:r w:rsidRPr="002D3D9F">
        <w:rPr>
          <w:rFonts w:ascii="Times New Roman" w:eastAsia="Arial Unicode MS" w:hAnsi="Times New Roman"/>
          <w:b/>
          <w:szCs w:val="22"/>
          <w:lang w:eastAsia="it-IT"/>
        </w:rPr>
        <w:t xml:space="preserve">aboratorio di Genetica Oncologica e </w:t>
      </w:r>
      <w:proofErr w:type="spellStart"/>
      <w:r w:rsidRPr="002D3D9F">
        <w:rPr>
          <w:rFonts w:ascii="Times New Roman" w:eastAsia="Arial Unicode MS" w:hAnsi="Times New Roman"/>
          <w:b/>
          <w:szCs w:val="22"/>
          <w:lang w:eastAsia="it-IT"/>
        </w:rPr>
        <w:t>Profilazione</w:t>
      </w:r>
      <w:proofErr w:type="spellEnd"/>
      <w:r w:rsidRPr="002D3D9F">
        <w:rPr>
          <w:rFonts w:ascii="Times New Roman" w:eastAsia="Arial Unicode MS" w:hAnsi="Times New Roman"/>
          <w:b/>
          <w:szCs w:val="22"/>
          <w:lang w:eastAsia="it-IT"/>
        </w:rPr>
        <w:t xml:space="preserve"> Genomica</w:t>
      </w:r>
      <w:r>
        <w:rPr>
          <w:rFonts w:ascii="Times New Roman" w:eastAsia="Arial Unicode MS" w:hAnsi="Times New Roman"/>
          <w:b/>
          <w:szCs w:val="22"/>
          <w:lang w:eastAsia="it-IT"/>
        </w:rPr>
        <w:t>.</w:t>
      </w:r>
    </w:p>
    <w:p w:rsidR="002D3D9F" w:rsidRPr="002D3D9F" w:rsidRDefault="002D3D9F" w:rsidP="005C0044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Grigliatabella"/>
        <w:tblpPr w:leftFromText="141" w:rightFromText="141" w:vertAnchor="text" w:horzAnchor="margin" w:tblpY="208"/>
        <w:tblW w:w="0" w:type="auto"/>
        <w:tblLook w:val="04A0" w:firstRow="1" w:lastRow="0" w:firstColumn="1" w:lastColumn="0" w:noHBand="0" w:noVBand="1"/>
      </w:tblPr>
      <w:tblGrid>
        <w:gridCol w:w="3474"/>
        <w:gridCol w:w="3027"/>
        <w:gridCol w:w="3353"/>
      </w:tblGrid>
      <w:tr w:rsidR="00AB3FA8" w:rsidRPr="00BC28D1" w:rsidTr="00BC28D1">
        <w:tc>
          <w:tcPr>
            <w:tcW w:w="3474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C28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Requisiti tecnici minimi:</w:t>
            </w:r>
          </w:p>
        </w:tc>
        <w:tc>
          <w:tcPr>
            <w:tcW w:w="3027" w:type="dxa"/>
          </w:tcPr>
          <w:p w:rsidR="00AB3FA8" w:rsidRPr="00BC28D1" w:rsidRDefault="00AB3FA8" w:rsidP="00BC28D1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BC28D1">
              <w:rPr>
                <w:rFonts w:ascii="Times New Roman" w:hAnsi="Times New Roman"/>
                <w:b/>
                <w:sz w:val="20"/>
              </w:rPr>
              <w:t>Fabbisogno annuo</w:t>
            </w:r>
          </w:p>
        </w:tc>
        <w:tc>
          <w:tcPr>
            <w:tcW w:w="3353" w:type="dxa"/>
          </w:tcPr>
          <w:p w:rsidR="00AB3FA8" w:rsidRPr="00BC28D1" w:rsidRDefault="00AB3FA8" w:rsidP="00BC28D1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BC28D1">
              <w:rPr>
                <w:rFonts w:ascii="Times New Roman" w:hAnsi="Times New Roman"/>
                <w:b/>
                <w:sz w:val="20"/>
              </w:rPr>
              <w:t>Indicare la pag./ il rigo dove si evince il requisito</w:t>
            </w:r>
          </w:p>
        </w:tc>
      </w:tr>
      <w:tr w:rsidR="00AB3FA8" w:rsidRPr="00BC28D1" w:rsidTr="00BC28D1">
        <w:tc>
          <w:tcPr>
            <w:tcW w:w="3474" w:type="dxa"/>
          </w:tcPr>
          <w:p w:rsidR="00AB3FA8" w:rsidRPr="00BC28D1" w:rsidRDefault="00AB3FA8" w:rsidP="00BC28D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Kit per la rilevazione e quantizzazione di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dsDNA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ad elevata sensibilità (intervallo di rilevamento da 0,1 a 120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ng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). Compatibile con strumentazione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Qubit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Fluorometer</w:t>
            </w:r>
            <w:proofErr w:type="spellEnd"/>
          </w:p>
        </w:tc>
        <w:tc>
          <w:tcPr>
            <w:tcW w:w="3027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5.000 </w:t>
            </w:r>
            <w:proofErr w:type="spellStart"/>
            <w:r w:rsidRPr="00B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campioni</w:t>
            </w:r>
            <w:proofErr w:type="spellEnd"/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3FA8" w:rsidRPr="00BC28D1" w:rsidTr="00BC28D1">
        <w:tc>
          <w:tcPr>
            <w:tcW w:w="3474" w:type="dxa"/>
          </w:tcPr>
          <w:p w:rsidR="00AB3FA8" w:rsidRPr="00BC28D1" w:rsidRDefault="00AB3FA8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Kit per la rilevazione e quantizzazione di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dsDNA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(intervallo di rilevamento da 4-2,000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ng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). Compatibile con strumentazione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Qubit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Fluorometer</w:t>
            </w:r>
            <w:proofErr w:type="spellEnd"/>
          </w:p>
        </w:tc>
        <w:tc>
          <w:tcPr>
            <w:tcW w:w="3027" w:type="dxa"/>
          </w:tcPr>
          <w:p w:rsidR="00AB3FA8" w:rsidRPr="00BC28D1" w:rsidRDefault="00AB3FA8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  <w:lang w:val="en-US"/>
              </w:rPr>
              <w:t xml:space="preserve">2.000 </w:t>
            </w:r>
            <w:proofErr w:type="spellStart"/>
            <w:r w:rsidRPr="00BC28D1">
              <w:rPr>
                <w:rFonts w:ascii="Times New Roman" w:hAnsi="Times New Roman"/>
                <w:sz w:val="20"/>
                <w:lang w:val="en-US"/>
              </w:rPr>
              <w:t>campioni</w:t>
            </w:r>
            <w:proofErr w:type="spellEnd"/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3FA8" w:rsidRPr="00BC28D1" w:rsidTr="00BC28D1">
        <w:trPr>
          <w:trHeight w:val="248"/>
        </w:trPr>
        <w:tc>
          <w:tcPr>
            <w:tcW w:w="3474" w:type="dxa"/>
          </w:tcPr>
          <w:p w:rsidR="00AB3FA8" w:rsidRPr="00BC28D1" w:rsidRDefault="00AB3FA8" w:rsidP="00BC28D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Kit per la rilevazione e quantizzazione di RNA ad elevata sensibilità (intervallo di rilevamento da 4−200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ng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). Compatibile con strumentazione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Qubit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Fluorometer</w:t>
            </w:r>
            <w:proofErr w:type="spellEnd"/>
          </w:p>
        </w:tc>
        <w:tc>
          <w:tcPr>
            <w:tcW w:w="3027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1.500 </w:t>
            </w:r>
            <w:proofErr w:type="spellStart"/>
            <w:r w:rsidRPr="00B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campioni</w:t>
            </w:r>
            <w:proofErr w:type="spellEnd"/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3FA8" w:rsidRPr="00BC28D1" w:rsidTr="00BC28D1">
        <w:tc>
          <w:tcPr>
            <w:tcW w:w="3474" w:type="dxa"/>
          </w:tcPr>
          <w:p w:rsidR="00AB3FA8" w:rsidRPr="00BC28D1" w:rsidRDefault="00AB3FA8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Kit per la rilevazione e quantizzazione di RNA (intervallo di rilevamento da 10−1,200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ng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). Compatibile con strumentazione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Qubit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Fluorometer</w:t>
            </w:r>
            <w:proofErr w:type="spellEnd"/>
          </w:p>
        </w:tc>
        <w:tc>
          <w:tcPr>
            <w:tcW w:w="3027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B3FA8" w:rsidRPr="00BC28D1" w:rsidRDefault="00AB3FA8" w:rsidP="00BC28D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  <w:lang w:val="en-US"/>
              </w:rPr>
              <w:t xml:space="preserve">1.500 </w:t>
            </w:r>
            <w:proofErr w:type="spellStart"/>
            <w:r w:rsidRPr="00BC28D1">
              <w:rPr>
                <w:rFonts w:ascii="Times New Roman" w:hAnsi="Times New Roman"/>
                <w:sz w:val="20"/>
                <w:lang w:val="en-US"/>
              </w:rPr>
              <w:t>campioni</w:t>
            </w:r>
            <w:proofErr w:type="spellEnd"/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3FA8" w:rsidRPr="00BC28D1" w:rsidTr="00BC28D1">
        <w:tc>
          <w:tcPr>
            <w:tcW w:w="3474" w:type="dxa"/>
          </w:tcPr>
          <w:p w:rsidR="00AB3FA8" w:rsidRPr="00BC28D1" w:rsidRDefault="00831027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Provette in polipropilene a parete sottile da 500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μL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per l'uso con il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fluorimetro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Qubit</w:t>
            </w:r>
            <w:proofErr w:type="spellEnd"/>
          </w:p>
        </w:tc>
        <w:tc>
          <w:tcPr>
            <w:tcW w:w="3027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28D1">
              <w:rPr>
                <w:rFonts w:ascii="Times New Roman" w:hAnsi="Times New Roman" w:cs="Times New Roman"/>
                <w:sz w:val="20"/>
                <w:szCs w:val="20"/>
              </w:rPr>
              <w:t>10.000 pezzi</w:t>
            </w:r>
          </w:p>
          <w:p w:rsidR="00831027" w:rsidRPr="00BC28D1" w:rsidRDefault="00831027" w:rsidP="00BC28D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AB3FA8" w:rsidRPr="00BC28D1" w:rsidRDefault="00AB3FA8" w:rsidP="00BC28D1">
            <w:pPr>
              <w:spacing w:line="276" w:lineRule="auto"/>
              <w:ind w:firstLine="708"/>
              <w:rPr>
                <w:rFonts w:ascii="Times New Roman" w:hAnsi="Times New Roman"/>
                <w:sz w:val="20"/>
              </w:rPr>
            </w:pPr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3FA8" w:rsidRPr="00BC28D1" w:rsidTr="00BC28D1">
        <w:tc>
          <w:tcPr>
            <w:tcW w:w="3474" w:type="dxa"/>
          </w:tcPr>
          <w:p w:rsidR="00AB3FA8" w:rsidRPr="00BC28D1" w:rsidRDefault="00831027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Piastre da 96 pozzetti con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barcodes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compatibili con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Ion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Torrent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Genexus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Integrated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Sequencer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in formato da 20 pezzi</w:t>
            </w:r>
          </w:p>
        </w:tc>
        <w:tc>
          <w:tcPr>
            <w:tcW w:w="3027" w:type="dxa"/>
          </w:tcPr>
          <w:p w:rsidR="00AB3FA8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600 </w:t>
            </w:r>
            <w:proofErr w:type="spellStart"/>
            <w:r w:rsidRPr="00B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pezzi</w:t>
            </w:r>
            <w:proofErr w:type="spellEnd"/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3FA8" w:rsidRPr="00BC28D1" w:rsidTr="00BC28D1">
        <w:tc>
          <w:tcPr>
            <w:tcW w:w="3474" w:type="dxa"/>
          </w:tcPr>
          <w:p w:rsidR="00AB3FA8" w:rsidRPr="00BC28D1" w:rsidRDefault="00831027" w:rsidP="00BC28D1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C28D1">
              <w:rPr>
                <w:rFonts w:ascii="Times New Roman" w:hAnsi="Times New Roman"/>
                <w:sz w:val="20"/>
              </w:rPr>
              <w:t>Foil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adesivo per piastre da 96 pozzetti compatibili con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Ion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Torrent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Genexus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Integrated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Sequencer</w:t>
            </w:r>
            <w:proofErr w:type="spellEnd"/>
          </w:p>
        </w:tc>
        <w:tc>
          <w:tcPr>
            <w:tcW w:w="3027" w:type="dxa"/>
          </w:tcPr>
          <w:p w:rsidR="00AB3FA8" w:rsidRPr="00BC28D1" w:rsidRDefault="00831027" w:rsidP="00BC28D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  <w:lang w:val="en-US"/>
              </w:rPr>
              <w:t xml:space="preserve">1.000 </w:t>
            </w:r>
            <w:proofErr w:type="spellStart"/>
            <w:r w:rsidRPr="00BC28D1">
              <w:rPr>
                <w:rFonts w:ascii="Times New Roman" w:hAnsi="Times New Roman"/>
                <w:sz w:val="20"/>
                <w:lang w:val="en-US"/>
              </w:rPr>
              <w:t>pezzi</w:t>
            </w:r>
            <w:proofErr w:type="spellEnd"/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027" w:rsidRPr="00BC28D1" w:rsidTr="00BC28D1">
        <w:tc>
          <w:tcPr>
            <w:tcW w:w="3474" w:type="dxa"/>
          </w:tcPr>
          <w:p w:rsidR="00831027" w:rsidRPr="00BC28D1" w:rsidRDefault="00922BB6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>Kit per estrazione manuale di acidi nucleici circolanti (DNA e RNA) con tecnologia a biglie magnetiche</w:t>
            </w:r>
          </w:p>
        </w:tc>
        <w:tc>
          <w:tcPr>
            <w:tcW w:w="3027" w:type="dxa"/>
          </w:tcPr>
          <w:p w:rsidR="00831027" w:rsidRPr="00BC28D1" w:rsidRDefault="00922BB6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</w:rPr>
              <w:t>150 campioni</w:t>
            </w:r>
          </w:p>
        </w:tc>
        <w:tc>
          <w:tcPr>
            <w:tcW w:w="3353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027" w:rsidRPr="00BC28D1" w:rsidTr="00BC28D1">
        <w:tc>
          <w:tcPr>
            <w:tcW w:w="3474" w:type="dxa"/>
          </w:tcPr>
          <w:p w:rsidR="00831027" w:rsidRPr="00BC28D1" w:rsidRDefault="00922BB6" w:rsidP="0035563A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Kit per estrazione manuale di DNA genomico da sangue intero </w:t>
            </w:r>
            <w:bookmarkStart w:id="0" w:name="_GoBack"/>
            <w:bookmarkEnd w:id="0"/>
          </w:p>
        </w:tc>
        <w:tc>
          <w:tcPr>
            <w:tcW w:w="3027" w:type="dxa"/>
          </w:tcPr>
          <w:p w:rsidR="00831027" w:rsidRPr="00BC28D1" w:rsidRDefault="00922BB6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</w:rPr>
              <w:t>200 campioni</w:t>
            </w:r>
          </w:p>
        </w:tc>
        <w:tc>
          <w:tcPr>
            <w:tcW w:w="3353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027" w:rsidRPr="00BC28D1" w:rsidTr="00BC28D1">
        <w:tc>
          <w:tcPr>
            <w:tcW w:w="3474" w:type="dxa"/>
          </w:tcPr>
          <w:p w:rsidR="00831027" w:rsidRPr="00BC28D1" w:rsidRDefault="00922BB6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>Etanolo assoluto per uso in biologia molecolare</w:t>
            </w:r>
          </w:p>
        </w:tc>
        <w:tc>
          <w:tcPr>
            <w:tcW w:w="3027" w:type="dxa"/>
          </w:tcPr>
          <w:p w:rsidR="00831027" w:rsidRPr="00BC28D1" w:rsidRDefault="00922BB6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</w:rPr>
              <w:t>10 Litri</w:t>
            </w:r>
          </w:p>
        </w:tc>
        <w:tc>
          <w:tcPr>
            <w:tcW w:w="3353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027" w:rsidRPr="00BC28D1" w:rsidTr="00BC28D1">
        <w:tc>
          <w:tcPr>
            <w:tcW w:w="3474" w:type="dxa"/>
          </w:tcPr>
          <w:p w:rsidR="00831027" w:rsidRPr="00BC28D1" w:rsidRDefault="00922BB6" w:rsidP="00BC28D1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C28D1">
              <w:rPr>
                <w:rFonts w:ascii="Times New Roman" w:hAnsi="Times New Roman"/>
                <w:sz w:val="20"/>
              </w:rPr>
              <w:t>BigDye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Xterminator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Purification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Kit per la purificazione di terminatori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BigDye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non incorporati e sali</w:t>
            </w:r>
          </w:p>
        </w:tc>
        <w:tc>
          <w:tcPr>
            <w:tcW w:w="3027" w:type="dxa"/>
          </w:tcPr>
          <w:p w:rsidR="00831027" w:rsidRPr="00BC28D1" w:rsidRDefault="00922BB6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</w:rPr>
              <w:t>2.000 reazioni</w:t>
            </w:r>
          </w:p>
        </w:tc>
        <w:tc>
          <w:tcPr>
            <w:tcW w:w="3353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027" w:rsidRPr="00BC28D1" w:rsidTr="00BC28D1">
        <w:tc>
          <w:tcPr>
            <w:tcW w:w="3474" w:type="dxa"/>
          </w:tcPr>
          <w:p w:rsidR="00831027" w:rsidRPr="00BC28D1" w:rsidRDefault="00922BB6" w:rsidP="00BC28D1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C28D1">
              <w:rPr>
                <w:rFonts w:ascii="Times New Roman" w:hAnsi="Times New Roman"/>
                <w:sz w:val="20"/>
              </w:rPr>
              <w:t>BigDye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Terminator v3.1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Cycle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sequencing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per incorporazione di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ddNTP</w:t>
            </w:r>
            <w:proofErr w:type="spellEnd"/>
          </w:p>
        </w:tc>
        <w:tc>
          <w:tcPr>
            <w:tcW w:w="3027" w:type="dxa"/>
          </w:tcPr>
          <w:p w:rsidR="00922BB6" w:rsidRPr="00BC28D1" w:rsidRDefault="00922BB6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</w:rPr>
              <w:t>300 reazioni</w:t>
            </w:r>
          </w:p>
          <w:p w:rsidR="00831027" w:rsidRPr="00BC28D1" w:rsidRDefault="00831027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353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027" w:rsidRPr="00BC28D1" w:rsidTr="00BC28D1">
        <w:tc>
          <w:tcPr>
            <w:tcW w:w="3474" w:type="dxa"/>
          </w:tcPr>
          <w:p w:rsidR="00831027" w:rsidRPr="00BC28D1" w:rsidRDefault="00922BB6" w:rsidP="00BC28D1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C28D1">
              <w:rPr>
                <w:rFonts w:ascii="Times New Roman" w:hAnsi="Times New Roman"/>
                <w:sz w:val="20"/>
              </w:rPr>
              <w:t>dNTP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mix</w:t>
            </w:r>
          </w:p>
        </w:tc>
        <w:tc>
          <w:tcPr>
            <w:tcW w:w="3027" w:type="dxa"/>
          </w:tcPr>
          <w:p w:rsidR="00831027" w:rsidRPr="00BC28D1" w:rsidRDefault="00922BB6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</w:rPr>
              <w:t>1 kit</w:t>
            </w:r>
          </w:p>
        </w:tc>
        <w:tc>
          <w:tcPr>
            <w:tcW w:w="3353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D3D9F" w:rsidRDefault="002D3D9F" w:rsidP="00BC28D1">
      <w:pPr>
        <w:spacing w:line="360" w:lineRule="auto"/>
        <w:rPr>
          <w:rFonts w:ascii="Times New Roman" w:hAnsi="Times New Roman"/>
          <w:u w:val="single"/>
        </w:rPr>
      </w:pPr>
    </w:p>
    <w:p w:rsidR="002D3D9F" w:rsidRDefault="002D3D9F" w:rsidP="00BC28D1">
      <w:pPr>
        <w:tabs>
          <w:tab w:val="left" w:pos="7284"/>
        </w:tabs>
        <w:spacing w:line="360" w:lineRule="auto"/>
        <w:ind w:left="142" w:hanging="426"/>
        <w:rPr>
          <w:rFonts w:ascii="Times New Roman" w:hAnsi="Times New Roman"/>
        </w:rPr>
      </w:pPr>
    </w:p>
    <w:sectPr w:rsidR="002D3D9F" w:rsidSect="00285B6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560" w:rsidRDefault="00C55560" w:rsidP="00C56C3A">
      <w:r>
        <w:separator/>
      </w:r>
    </w:p>
  </w:endnote>
  <w:endnote w:type="continuationSeparator" w:id="0">
    <w:p w:rsidR="00C55560" w:rsidRDefault="00C55560" w:rsidP="00C5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560" w:rsidRDefault="00C55560" w:rsidP="00C56C3A">
      <w:r>
        <w:separator/>
      </w:r>
    </w:p>
  </w:footnote>
  <w:footnote w:type="continuationSeparator" w:id="0">
    <w:p w:rsidR="00C55560" w:rsidRDefault="00C55560" w:rsidP="00C5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2135E"/>
    <w:multiLevelType w:val="hybridMultilevel"/>
    <w:tmpl w:val="7750AC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F2969BE"/>
    <w:multiLevelType w:val="hybridMultilevel"/>
    <w:tmpl w:val="23D88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3A"/>
    <w:rsid w:val="00007ABD"/>
    <w:rsid w:val="000206DD"/>
    <w:rsid w:val="001D0A08"/>
    <w:rsid w:val="00212FDF"/>
    <w:rsid w:val="00285B66"/>
    <w:rsid w:val="002D3D9F"/>
    <w:rsid w:val="002F438D"/>
    <w:rsid w:val="0035320C"/>
    <w:rsid w:val="0035563A"/>
    <w:rsid w:val="005C0044"/>
    <w:rsid w:val="00823B2E"/>
    <w:rsid w:val="00831027"/>
    <w:rsid w:val="008C32F9"/>
    <w:rsid w:val="008D343D"/>
    <w:rsid w:val="00922BB6"/>
    <w:rsid w:val="00937538"/>
    <w:rsid w:val="00AB3FA8"/>
    <w:rsid w:val="00AB670D"/>
    <w:rsid w:val="00B02EAD"/>
    <w:rsid w:val="00BC28D1"/>
    <w:rsid w:val="00BE33A6"/>
    <w:rsid w:val="00C55560"/>
    <w:rsid w:val="00C56C3A"/>
    <w:rsid w:val="00D03F49"/>
    <w:rsid w:val="00D47BCD"/>
    <w:rsid w:val="00DC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B66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56C3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56C3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C3A"/>
  </w:style>
  <w:style w:type="paragraph" w:styleId="Pidipagina">
    <w:name w:val="footer"/>
    <w:basedOn w:val="Normale"/>
    <w:link w:val="PidipaginaCarattere"/>
    <w:uiPriority w:val="99"/>
    <w:unhideWhenUsed/>
    <w:rsid w:val="00C56C3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C3A"/>
  </w:style>
  <w:style w:type="paragraph" w:styleId="Paragrafoelenco">
    <w:name w:val="List Paragraph"/>
    <w:basedOn w:val="Normale"/>
    <w:uiPriority w:val="34"/>
    <w:qFormat/>
    <w:rsid w:val="00C56C3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Grigliatabella">
    <w:name w:val="Table Grid"/>
    <w:basedOn w:val="Tabellanormale"/>
    <w:uiPriority w:val="59"/>
    <w:rsid w:val="002D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B66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56C3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56C3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C3A"/>
  </w:style>
  <w:style w:type="paragraph" w:styleId="Pidipagina">
    <w:name w:val="footer"/>
    <w:basedOn w:val="Normale"/>
    <w:link w:val="PidipaginaCarattere"/>
    <w:uiPriority w:val="99"/>
    <w:unhideWhenUsed/>
    <w:rsid w:val="00C56C3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C3A"/>
  </w:style>
  <w:style w:type="paragraph" w:styleId="Paragrafoelenco">
    <w:name w:val="List Paragraph"/>
    <w:basedOn w:val="Normale"/>
    <w:uiPriority w:val="34"/>
    <w:qFormat/>
    <w:rsid w:val="00C56C3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Grigliatabella">
    <w:name w:val="Table Grid"/>
    <w:basedOn w:val="Tabellanormale"/>
    <w:uiPriority w:val="59"/>
    <w:rsid w:val="002D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19</cp:revision>
  <cp:lastPrinted>2025-10-20T08:04:00Z</cp:lastPrinted>
  <dcterms:created xsi:type="dcterms:W3CDTF">2024-12-04T10:00:00Z</dcterms:created>
  <dcterms:modified xsi:type="dcterms:W3CDTF">2026-01-21T13:22:00Z</dcterms:modified>
</cp:coreProperties>
</file>