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EA8" w:rsidRPr="00925270" w:rsidRDefault="00025EA8" w:rsidP="00025EA8">
      <w:pPr>
        <w:jc w:val="both"/>
        <w:rPr>
          <w:b/>
        </w:rPr>
      </w:pPr>
      <w:r>
        <w:rPr>
          <w:b/>
        </w:rPr>
        <w:t xml:space="preserve">Oggetto: </w:t>
      </w:r>
      <w:r w:rsidR="00AF1779" w:rsidRPr="00AF1779">
        <w:rPr>
          <w:b/>
        </w:rPr>
        <w:t>Reagenti per colture cellulari</w:t>
      </w:r>
      <w:r w:rsidR="009C222E" w:rsidRPr="006832C3">
        <w:rPr>
          <w:b/>
        </w:rPr>
        <w:t xml:space="preserve"> </w:t>
      </w:r>
      <w:r w:rsidR="00967F19" w:rsidRPr="00967F19">
        <w:rPr>
          <w:b/>
        </w:rPr>
        <w:t xml:space="preserve">a valere sui fondi del progetto con codice PNRR-MCNT1-2023-12377772 dal titolo: “Immune </w:t>
      </w:r>
      <w:proofErr w:type="spellStart"/>
      <w:r w:rsidR="00967F19" w:rsidRPr="00967F19">
        <w:rPr>
          <w:b/>
        </w:rPr>
        <w:t>metabolism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Dysregulation</w:t>
      </w:r>
      <w:proofErr w:type="spellEnd"/>
      <w:r w:rsidR="00967F19" w:rsidRPr="00967F19">
        <w:rPr>
          <w:b/>
        </w:rPr>
        <w:t xml:space="preserve"> and </w:t>
      </w:r>
      <w:proofErr w:type="spellStart"/>
      <w:r w:rsidR="00967F19" w:rsidRPr="00967F19">
        <w:rPr>
          <w:b/>
        </w:rPr>
        <w:t>Efficacy</w:t>
      </w:r>
      <w:proofErr w:type="spellEnd"/>
      <w:r w:rsidR="00967F19" w:rsidRPr="00967F19">
        <w:rPr>
          <w:b/>
        </w:rPr>
        <w:t xml:space="preserve"> of Anti-PD-1/PD-L1 agents in </w:t>
      </w:r>
      <w:proofErr w:type="spellStart"/>
      <w:r w:rsidR="00967F19" w:rsidRPr="00967F19">
        <w:rPr>
          <w:b/>
        </w:rPr>
        <w:t>nonsmall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cell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Lung</w:t>
      </w:r>
      <w:proofErr w:type="spellEnd"/>
      <w:r w:rsidR="00967F19" w:rsidRPr="00967F19">
        <w:rPr>
          <w:b/>
        </w:rPr>
        <w:t xml:space="preserve"> </w:t>
      </w:r>
      <w:proofErr w:type="spellStart"/>
      <w:r w:rsidR="00967F19" w:rsidRPr="00967F19">
        <w:rPr>
          <w:b/>
        </w:rPr>
        <w:t>cancer</w:t>
      </w:r>
      <w:proofErr w:type="spellEnd"/>
      <w:r w:rsidR="00967F19" w:rsidRPr="00967F19">
        <w:rPr>
          <w:b/>
        </w:rPr>
        <w:t>” – CUP: I73C24000370007.</w:t>
      </w:r>
      <w:r w:rsidR="00967F19" w:rsidRPr="00967F19">
        <w:rPr>
          <w:b/>
        </w:rPr>
        <w:tab/>
      </w:r>
    </w:p>
    <w:p w:rsidR="00025EA8" w:rsidRDefault="00025EA8" w:rsidP="00025EA8">
      <w:pPr>
        <w:jc w:val="both"/>
        <w:rPr>
          <w:b/>
          <w:i/>
        </w:rPr>
      </w:pPr>
      <w:r w:rsidRPr="00D044BC">
        <w:rPr>
          <w:b/>
          <w:i/>
        </w:rPr>
        <w:t>Elementi tecnici</w:t>
      </w:r>
    </w:p>
    <w:p w:rsidR="00025EA8" w:rsidRDefault="00025EA8" w:rsidP="00025EA8"/>
    <w:tbl>
      <w:tblPr>
        <w:tblStyle w:val="Grigliatabella"/>
        <w:tblW w:w="14277" w:type="dxa"/>
        <w:tblLook w:val="04A0" w:firstRow="1" w:lastRow="0" w:firstColumn="1" w:lastColumn="0" w:noHBand="0" w:noVBand="1"/>
      </w:tblPr>
      <w:tblGrid>
        <w:gridCol w:w="2493"/>
        <w:gridCol w:w="3633"/>
        <w:gridCol w:w="1855"/>
        <w:gridCol w:w="2112"/>
        <w:gridCol w:w="1388"/>
        <w:gridCol w:w="2796"/>
      </w:tblGrid>
      <w:tr w:rsidR="00025EA8" w:rsidTr="00025EA8">
        <w:trPr>
          <w:trHeight w:val="1457"/>
        </w:trPr>
        <w:tc>
          <w:tcPr>
            <w:tcW w:w="2493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Quantità</w:t>
            </w:r>
          </w:p>
        </w:tc>
        <w:tc>
          <w:tcPr>
            <w:tcW w:w="3633" w:type="dxa"/>
            <w:shd w:val="clear" w:color="auto" w:fill="A6A6A6"/>
          </w:tcPr>
          <w:p w:rsidR="00025EA8" w:rsidRPr="004A0384" w:rsidRDefault="00025EA8" w:rsidP="00735C0E">
            <w:pPr>
              <w:pStyle w:val="TableParagraph"/>
              <w:rPr>
                <w:rFonts w:eastAsia="Arial"/>
                <w:b/>
                <w:lang w:val="en-US" w:eastAsia="en-US"/>
              </w:rPr>
            </w:pPr>
            <w:r>
              <w:rPr>
                <w:rFonts w:eastAsia="Arial"/>
                <w:b/>
                <w:lang w:val="en-US" w:eastAsia="en-US"/>
              </w:rPr>
              <w:t xml:space="preserve">Caratteristiche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tecniche</w:t>
            </w:r>
            <w:proofErr w:type="spellEnd"/>
            <w:r>
              <w:rPr>
                <w:rFonts w:eastAsia="Arial"/>
                <w:b/>
                <w:lang w:val="en-US" w:eastAsia="en-US"/>
              </w:rPr>
              <w:t xml:space="preserve"> </w:t>
            </w:r>
            <w:proofErr w:type="spellStart"/>
            <w:r>
              <w:rPr>
                <w:rFonts w:eastAsia="Arial"/>
                <w:b/>
                <w:lang w:val="en-US" w:eastAsia="en-US"/>
              </w:rPr>
              <w:t>minime</w:t>
            </w:r>
            <w:proofErr w:type="spellEnd"/>
          </w:p>
        </w:tc>
        <w:tc>
          <w:tcPr>
            <w:tcW w:w="1855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Casella in cui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ditta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indica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possedere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la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cratteristica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tecnica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richiesta</w:t>
            </w:r>
            <w:proofErr w:type="spellEnd"/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(SI/NO)</w:t>
            </w:r>
          </w:p>
        </w:tc>
        <w:tc>
          <w:tcPr>
            <w:tcW w:w="2112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 w:rsidRPr="00D044BC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EVENTUALI NOTE</w:t>
            </w:r>
          </w:p>
        </w:tc>
        <w:tc>
          <w:tcPr>
            <w:tcW w:w="1388" w:type="dxa"/>
            <w:shd w:val="clear" w:color="auto" w:fill="A6A6A6"/>
          </w:tcPr>
          <w:p w:rsidR="00025EA8" w:rsidRPr="00D044BC" w:rsidRDefault="00025EA8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Tempi di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consegna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dalla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ricezione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dell’ordine</w:t>
            </w:r>
            <w:proofErr w:type="spellEnd"/>
          </w:p>
        </w:tc>
        <w:tc>
          <w:tcPr>
            <w:tcW w:w="2796" w:type="dxa"/>
            <w:shd w:val="clear" w:color="auto" w:fill="A6A6A6"/>
          </w:tcPr>
          <w:p w:rsidR="00025EA8" w:rsidRDefault="00025EA8" w:rsidP="00025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ind w:left="160"/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</w:pP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CND, </w:t>
            </w:r>
            <w:proofErr w:type="spellStart"/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n</w:t>
            </w:r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umero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di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Registrazione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Ministero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della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Sanità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, </w:t>
            </w:r>
            <w:r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e </w:t>
            </w:r>
            <w:proofErr w:type="spellStart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>codice</w:t>
            </w:r>
            <w:proofErr w:type="spellEnd"/>
            <w:r w:rsidRPr="00025EA8">
              <w:rPr>
                <w:rFonts w:ascii="Arial" w:eastAsia="Arial" w:hAnsi="Arial" w:cstheme="minorBidi"/>
                <w:b/>
                <w:color w:val="auto"/>
                <w:kern w:val="0"/>
                <w:sz w:val="20"/>
                <w:szCs w:val="20"/>
                <w:bdr w:val="none" w:sz="0" w:space="0" w:color="auto"/>
                <w:lang w:val="en-US" w:eastAsia="en-US"/>
              </w:rPr>
              <w:t xml:space="preserve"> CPV</w:t>
            </w:r>
          </w:p>
        </w:tc>
      </w:tr>
      <w:tr w:rsidR="00F94DB9" w:rsidTr="00085C16">
        <w:trPr>
          <w:trHeight w:val="5395"/>
        </w:trPr>
        <w:tc>
          <w:tcPr>
            <w:tcW w:w="2493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AF1779" w:rsidP="00A70E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sz w:val="28"/>
              </w:rPr>
            </w:pPr>
          </w:p>
          <w:p w:rsidR="00F94DB9" w:rsidRDefault="00F94DB9" w:rsidP="00967F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3633" w:type="dxa"/>
          </w:tcPr>
          <w:p w:rsidR="00AF1779" w:rsidRDefault="00AF1779" w:rsidP="00F94DB9">
            <w:pPr>
              <w:spacing w:line="276" w:lineRule="auto"/>
              <w:jc w:val="both"/>
            </w:pPr>
            <w:proofErr w:type="spellStart"/>
            <w:r w:rsidRPr="00AF1779">
              <w:t>Recombinant</w:t>
            </w:r>
            <w:proofErr w:type="spellEnd"/>
            <w:r w:rsidRPr="00AF1779">
              <w:t xml:space="preserve"> Human IGFBP-rp1/IGFBP-7 (K95R) </w:t>
            </w:r>
            <w:proofErr w:type="spellStart"/>
            <w:r w:rsidRPr="00AF1779">
              <w:t>Protein</w:t>
            </w:r>
            <w:proofErr w:type="spellEnd"/>
            <w:r w:rsidRPr="00AF1779">
              <w:t xml:space="preserve">, </w:t>
            </w:r>
            <w:proofErr w:type="gramStart"/>
            <w:r w:rsidRPr="00AF1779">
              <w:t>CF</w:t>
            </w:r>
            <w:r>
              <w:t xml:space="preserve">  con</w:t>
            </w:r>
            <w:proofErr w:type="gramEnd"/>
            <w:r>
              <w:t xml:space="preserve"> </w:t>
            </w:r>
            <w:r w:rsidRPr="00AF1779">
              <w:t xml:space="preserve">le seguenti caratteristiche tecniche minime: </w:t>
            </w:r>
          </w:p>
          <w:p w:rsidR="00AF1779" w:rsidRDefault="00AF1779" w:rsidP="00AF1779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AF1779">
              <w:t>purezza &gt;90%, determinata mediante SDS-PAGE;</w:t>
            </w:r>
          </w:p>
          <w:p w:rsidR="00F94DB9" w:rsidRDefault="00AF1779" w:rsidP="00AF1779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AF1779">
              <w:t xml:space="preserve"> livello di endotossine &lt;0,01 EU per 1 </w:t>
            </w:r>
            <w:proofErr w:type="spellStart"/>
            <w:r w:rsidRPr="00AF1779">
              <w:t>μg</w:t>
            </w:r>
            <w:proofErr w:type="spellEnd"/>
            <w:r w:rsidRPr="00AF1779">
              <w:t xml:space="preserve"> di proteina, misurato mediante metodo LAL.</w:t>
            </w:r>
          </w:p>
          <w:p w:rsidR="00AF1779" w:rsidRPr="009463F7" w:rsidRDefault="00AF1779" w:rsidP="00AF1779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</w:pPr>
            <w:r w:rsidRPr="00AF1779">
              <w:t xml:space="preserve">L’attività biologica deve essere valutata attraverso la capacità di legare 6Ckine/CCL21 in un saggio ELISA funzionale, secondo quanto descritto da </w:t>
            </w:r>
            <w:proofErr w:type="spellStart"/>
            <w:r w:rsidRPr="00AF1779">
              <w:t>Nagakubo</w:t>
            </w:r>
            <w:proofErr w:type="spellEnd"/>
            <w:r w:rsidRPr="00AF1779">
              <w:t xml:space="preserve"> et al. (2003), Journal of </w:t>
            </w:r>
            <w:proofErr w:type="spellStart"/>
            <w:r w:rsidRPr="00AF1779">
              <w:t>Immunology</w:t>
            </w:r>
            <w:proofErr w:type="spellEnd"/>
            <w:r w:rsidRPr="00AF1779">
              <w:t xml:space="preserve">, 171:553. In particolare, quando la proteina ricombinante umana </w:t>
            </w:r>
            <w:r w:rsidRPr="00AF1779">
              <w:lastRenderedPageBreak/>
              <w:t xml:space="preserve">IGFBP-rp1/IGFBP-7 (K95R) è immobilizzata a una concentrazione di 500 </w:t>
            </w:r>
            <w:proofErr w:type="spellStart"/>
            <w:r w:rsidRPr="00AF1779">
              <w:t>ng</w:t>
            </w:r>
            <w:proofErr w:type="spellEnd"/>
            <w:r w:rsidRPr="00AF1779">
              <w:t>/</w:t>
            </w:r>
            <w:proofErr w:type="spellStart"/>
            <w:r w:rsidRPr="00AF1779">
              <w:t>mL</w:t>
            </w:r>
            <w:proofErr w:type="spellEnd"/>
            <w:r w:rsidRPr="00AF1779">
              <w:t xml:space="preserve"> (100 </w:t>
            </w:r>
            <w:proofErr w:type="spellStart"/>
            <w:r w:rsidRPr="00AF1779">
              <w:t>μL</w:t>
            </w:r>
            <w:proofErr w:type="spellEnd"/>
            <w:r w:rsidRPr="00AF1779">
              <w:t xml:space="preserve">/pozzetto), la concentrazione di CCL21/6Ckine ricombinante umano necessaria a ottenere il 50% della risposta massima di legame deve risultare compresa indicativamente tra 4 e 20 </w:t>
            </w:r>
            <w:proofErr w:type="spellStart"/>
            <w:r w:rsidRPr="00AF1779">
              <w:t>ng</w:t>
            </w:r>
            <w:proofErr w:type="spellEnd"/>
            <w:r w:rsidRPr="00AF1779">
              <w:t>/</w:t>
            </w:r>
            <w:proofErr w:type="spellStart"/>
            <w:r w:rsidRPr="00AF1779">
              <w:t>mL</w:t>
            </w:r>
            <w:proofErr w:type="spellEnd"/>
            <w:r w:rsidRPr="00AF1779">
              <w:t>."</w:t>
            </w:r>
            <w:bookmarkStart w:id="0" w:name="_GoBack"/>
            <w:bookmarkEnd w:id="0"/>
          </w:p>
        </w:tc>
        <w:tc>
          <w:tcPr>
            <w:tcW w:w="1855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112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388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796" w:type="dxa"/>
          </w:tcPr>
          <w:p w:rsidR="00F94DB9" w:rsidRDefault="00F94DB9" w:rsidP="00735C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025EA8" w:rsidRDefault="00025EA8" w:rsidP="00025EA8"/>
    <w:p w:rsidR="00DC25A1" w:rsidRDefault="00DC25A1"/>
    <w:p w:rsidR="00025EA8" w:rsidRPr="00025EA8" w:rsidRDefault="00025EA8">
      <w:pPr>
        <w:rPr>
          <w:i/>
        </w:rPr>
      </w:pPr>
    </w:p>
    <w:sectPr w:rsidR="00025EA8" w:rsidRPr="00025EA8" w:rsidSect="00025EA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1EEC"/>
    <w:multiLevelType w:val="hybridMultilevel"/>
    <w:tmpl w:val="B4CED05A"/>
    <w:lvl w:ilvl="0" w:tplc="FE6056A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293"/>
    <w:multiLevelType w:val="hybridMultilevel"/>
    <w:tmpl w:val="5C801490"/>
    <w:lvl w:ilvl="0" w:tplc="F2E843D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B582D"/>
    <w:multiLevelType w:val="hybridMultilevel"/>
    <w:tmpl w:val="650E30E8"/>
    <w:lvl w:ilvl="0" w:tplc="A892963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A1533"/>
    <w:multiLevelType w:val="hybridMultilevel"/>
    <w:tmpl w:val="15E435F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120426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3749D"/>
    <w:multiLevelType w:val="hybridMultilevel"/>
    <w:tmpl w:val="FF16A90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65D02"/>
    <w:multiLevelType w:val="hybridMultilevel"/>
    <w:tmpl w:val="D3CAA078"/>
    <w:lvl w:ilvl="0" w:tplc="04100015">
      <w:start w:val="1"/>
      <w:numFmt w:val="upperLetter"/>
      <w:lvlText w:val="%1."/>
      <w:lvlJc w:val="left"/>
      <w:pPr>
        <w:ind w:left="827" w:hanging="360"/>
      </w:pPr>
    </w:lvl>
    <w:lvl w:ilvl="1" w:tplc="04100019" w:tentative="1">
      <w:start w:val="1"/>
      <w:numFmt w:val="lowerLetter"/>
      <w:lvlText w:val="%2."/>
      <w:lvlJc w:val="left"/>
      <w:pPr>
        <w:ind w:left="1547" w:hanging="360"/>
      </w:pPr>
    </w:lvl>
    <w:lvl w:ilvl="2" w:tplc="0410001B" w:tentative="1">
      <w:start w:val="1"/>
      <w:numFmt w:val="lowerRoman"/>
      <w:lvlText w:val="%3."/>
      <w:lvlJc w:val="right"/>
      <w:pPr>
        <w:ind w:left="2267" w:hanging="180"/>
      </w:pPr>
    </w:lvl>
    <w:lvl w:ilvl="3" w:tplc="0410000F" w:tentative="1">
      <w:start w:val="1"/>
      <w:numFmt w:val="decimal"/>
      <w:lvlText w:val="%4."/>
      <w:lvlJc w:val="left"/>
      <w:pPr>
        <w:ind w:left="2987" w:hanging="360"/>
      </w:pPr>
    </w:lvl>
    <w:lvl w:ilvl="4" w:tplc="04100019" w:tentative="1">
      <w:start w:val="1"/>
      <w:numFmt w:val="lowerLetter"/>
      <w:lvlText w:val="%5."/>
      <w:lvlJc w:val="left"/>
      <w:pPr>
        <w:ind w:left="3707" w:hanging="360"/>
      </w:pPr>
    </w:lvl>
    <w:lvl w:ilvl="5" w:tplc="0410001B" w:tentative="1">
      <w:start w:val="1"/>
      <w:numFmt w:val="lowerRoman"/>
      <w:lvlText w:val="%6."/>
      <w:lvlJc w:val="right"/>
      <w:pPr>
        <w:ind w:left="4427" w:hanging="180"/>
      </w:pPr>
    </w:lvl>
    <w:lvl w:ilvl="6" w:tplc="0410000F" w:tentative="1">
      <w:start w:val="1"/>
      <w:numFmt w:val="decimal"/>
      <w:lvlText w:val="%7."/>
      <w:lvlJc w:val="left"/>
      <w:pPr>
        <w:ind w:left="5147" w:hanging="360"/>
      </w:pPr>
    </w:lvl>
    <w:lvl w:ilvl="7" w:tplc="04100019" w:tentative="1">
      <w:start w:val="1"/>
      <w:numFmt w:val="lowerLetter"/>
      <w:lvlText w:val="%8."/>
      <w:lvlJc w:val="left"/>
      <w:pPr>
        <w:ind w:left="5867" w:hanging="360"/>
      </w:pPr>
    </w:lvl>
    <w:lvl w:ilvl="8" w:tplc="0410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A8"/>
    <w:rsid w:val="00025B52"/>
    <w:rsid w:val="00025EA8"/>
    <w:rsid w:val="00502C76"/>
    <w:rsid w:val="006832C3"/>
    <w:rsid w:val="007969C3"/>
    <w:rsid w:val="007E79CA"/>
    <w:rsid w:val="00967F19"/>
    <w:rsid w:val="009C222E"/>
    <w:rsid w:val="00A2081B"/>
    <w:rsid w:val="00A70EE3"/>
    <w:rsid w:val="00AF1779"/>
    <w:rsid w:val="00DC25A1"/>
    <w:rsid w:val="00F9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6FB7"/>
  <w15:chartTrackingRefBased/>
  <w15:docId w15:val="{01668BEB-4399-40A6-8DBA-A13C0C67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EA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25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ind w:left="107"/>
    </w:pPr>
    <w:rPr>
      <w:rFonts w:eastAsia="Times New Roman" w:cs="Times New Roman"/>
      <w:color w:val="auto"/>
      <w:kern w:val="0"/>
      <w:sz w:val="22"/>
      <w:szCs w:val="22"/>
      <w:bdr w:val="none" w:sz="0" w:space="0" w:color="auto"/>
      <w:lang w:bidi="it-IT"/>
    </w:rPr>
  </w:style>
  <w:style w:type="table" w:styleId="Grigliatabella">
    <w:name w:val="Table Grid"/>
    <w:basedOn w:val="Tabellanormale"/>
    <w:uiPriority w:val="39"/>
    <w:rsid w:val="00025E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2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11</cp:revision>
  <dcterms:created xsi:type="dcterms:W3CDTF">2026-03-18T11:50:00Z</dcterms:created>
  <dcterms:modified xsi:type="dcterms:W3CDTF">2026-03-19T13:50:00Z</dcterms:modified>
</cp:coreProperties>
</file>